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3040"/>
        <w:gridCol w:w="1460"/>
        <w:gridCol w:w="1800"/>
        <w:gridCol w:w="1350"/>
        <w:gridCol w:w="360"/>
        <w:gridCol w:w="2100"/>
      </w:tblGrid>
      <w:tr w:rsidR="00000000" w:rsidTr="003F692D">
        <w:trPr>
          <w:cantSplit/>
        </w:trPr>
        <w:tc>
          <w:tcPr>
            <w:tcW w:w="101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lang w:val="en-GB"/>
              </w:rPr>
            </w:pPr>
          </w:p>
          <w:p w:rsidR="00000000" w:rsidRDefault="003F692D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:rsidR="00000000" w:rsidRDefault="003F692D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000000" w:rsidRDefault="003F692D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ONTARIO</w:t>
            </w:r>
          </w:p>
          <w:p w:rsidR="00000000" w:rsidRDefault="003F692D">
            <w:pPr>
              <w:jc w:val="center"/>
              <w:rPr>
                <w:rFonts w:ascii="Arial" w:hAnsi="Arial"/>
              </w:rPr>
            </w:pPr>
          </w:p>
          <w:p w:rsidR="00000000" w:rsidRDefault="003F692D">
            <w:pPr>
              <w:jc w:val="center"/>
              <w:rPr>
                <w:rFonts w:ascii="Arial" w:hAnsi="Arial"/>
                <w:lang w:val="en-GB"/>
              </w:rPr>
            </w:pPr>
          </w:p>
          <w:p w:rsidR="00000000" w:rsidRDefault="003F692D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819150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F692D">
            <w:pPr>
              <w:jc w:val="center"/>
              <w:rPr>
                <w:rFonts w:ascii="Arial" w:hAnsi="Arial"/>
                <w:lang w:val="en-GB"/>
              </w:rPr>
            </w:pPr>
          </w:p>
          <w:p w:rsidR="00000000" w:rsidRDefault="003F692D">
            <w:pPr>
              <w:jc w:val="center"/>
              <w:rPr>
                <w:rFonts w:ascii="Arial" w:hAnsi="Arial"/>
                <w:lang w:val="en-GB"/>
              </w:rPr>
            </w:pPr>
          </w:p>
          <w:p w:rsidR="00000000" w:rsidRDefault="003F692D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000000" w:rsidRDefault="003F692D">
            <w:pPr>
              <w:rPr>
                <w:rFonts w:ascii="Arial" w:hAnsi="Arial"/>
                <w:b/>
              </w:rPr>
            </w:pPr>
          </w:p>
        </w:tc>
        <w:tc>
          <w:tcPr>
            <w:tcW w:w="7070" w:type="dxa"/>
            <w:gridSpan w:val="5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NET 310 Environmental Assessment Implementation &amp; Monitoring</w:t>
            </w:r>
          </w:p>
        </w:tc>
      </w:tr>
      <w:tr w:rsidR="00000000" w:rsidTr="003F692D"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000000" w:rsidRDefault="003F692D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2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710" w:type="dxa"/>
            <w:gridSpan w:val="2"/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  <w:tc>
          <w:tcPr>
            <w:tcW w:w="7070" w:type="dxa"/>
            <w:gridSpan w:val="5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  <w:tc>
          <w:tcPr>
            <w:tcW w:w="7070" w:type="dxa"/>
            <w:gridSpan w:val="5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Robert Rattle</w:t>
            </w:r>
          </w:p>
        </w:tc>
      </w:tr>
      <w:tr w:rsidR="00000000" w:rsidTr="003F692D"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17/01/03</w:t>
            </w:r>
          </w:p>
        </w:tc>
        <w:tc>
          <w:tcPr>
            <w:tcW w:w="3150" w:type="dxa"/>
            <w:gridSpan w:val="2"/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PREV</w:t>
            </w:r>
            <w:r>
              <w:rPr>
                <w:rFonts w:ascii="Arial" w:hAnsi="Arial"/>
                <w:b/>
                <w:lang w:val="en-GB"/>
              </w:rPr>
              <w:t>IOUS OUTLINE DATED:</w:t>
            </w:r>
            <w:r>
              <w:rPr>
                <w:rFonts w:ascii="Arial" w:hAnsi="Arial"/>
              </w:rPr>
              <w:t xml:space="preserve"> 15/12/11</w:t>
            </w:r>
          </w:p>
        </w:tc>
        <w:tc>
          <w:tcPr>
            <w:tcW w:w="2460" w:type="dxa"/>
            <w:gridSpan w:val="2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610" w:type="dxa"/>
            <w:gridSpan w:val="3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4610" w:type="dxa"/>
            <w:gridSpan w:val="3"/>
          </w:tcPr>
          <w:p w:rsidR="00000000" w:rsidRDefault="003F692D">
            <w:pPr>
              <w:pStyle w:val="Heading2"/>
              <w:snapToGrid w:val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Sherri Smith</w:t>
            </w:r>
          </w:p>
          <w:p w:rsidR="00000000" w:rsidRDefault="003F692D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______________________________</w:t>
            </w:r>
          </w:p>
          <w:p w:rsidR="00000000" w:rsidRDefault="003F692D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CHAIR</w:t>
            </w:r>
          </w:p>
        </w:tc>
        <w:tc>
          <w:tcPr>
            <w:tcW w:w="2460" w:type="dxa"/>
            <w:gridSpan w:val="2"/>
            <w:tcBorders>
              <w:right w:val="single" w:sz="8" w:space="0" w:color="000000"/>
            </w:tcBorders>
          </w:tcPr>
          <w:p w:rsidR="00000000" w:rsidRDefault="003F692D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Jan 2017</w:t>
            </w:r>
          </w:p>
          <w:p w:rsidR="00000000" w:rsidRDefault="003F692D">
            <w:pPr>
              <w:pBdr>
                <w:bottom w:val="single" w:sz="8" w:space="1" w:color="000000"/>
              </w:pBd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000000" w:rsidRDefault="003F692D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  <w:r>
              <w:rPr>
                <w:rFonts w:ascii="Arial" w:hAnsi="Arial"/>
                <w:b/>
                <w:szCs w:val="24"/>
                <w:lang w:val="en-GB"/>
              </w:rPr>
              <w:t>DATE</w:t>
            </w: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  <w:tc>
          <w:tcPr>
            <w:tcW w:w="7070" w:type="dxa"/>
            <w:gridSpan w:val="5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  <w:tc>
          <w:tcPr>
            <w:tcW w:w="7070" w:type="dxa"/>
            <w:gridSpan w:val="5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</w:tr>
      <w:tr w:rsidR="00000000" w:rsidTr="003F692D">
        <w:trPr>
          <w:cantSplit/>
        </w:trPr>
        <w:tc>
          <w:tcPr>
            <w:tcW w:w="3040" w:type="dxa"/>
            <w:tcBorders>
              <w:lef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  <w:tc>
          <w:tcPr>
            <w:tcW w:w="7070" w:type="dxa"/>
            <w:gridSpan w:val="5"/>
            <w:tcBorders>
              <w:right w:val="single" w:sz="8" w:space="0" w:color="000000"/>
            </w:tcBorders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000000" w:rsidTr="003F692D">
        <w:trPr>
          <w:cantSplit/>
        </w:trPr>
        <w:tc>
          <w:tcPr>
            <w:tcW w:w="10110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000000" w:rsidRDefault="003F692D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©2010 The Sault College of Applied Arts &amp; Technology</w:t>
            </w:r>
          </w:p>
          <w:p w:rsidR="00000000" w:rsidRDefault="003F692D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 xml:space="preserve">Reproduction of this document by any means, in </w:t>
            </w:r>
            <w:r>
              <w:rPr>
                <w:rFonts w:ascii="Arial" w:hAnsi="Arial"/>
                <w:i/>
                <w:lang w:val="en-GB"/>
              </w:rPr>
              <w:t>whole or in part, without prior</w:t>
            </w:r>
          </w:p>
          <w:p w:rsidR="00000000" w:rsidRDefault="003F692D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written permission of Sault College of Applied Arts &amp; Technology is prohibited.</w:t>
            </w:r>
          </w:p>
        </w:tc>
      </w:tr>
      <w:tr w:rsidR="00000000" w:rsidTr="003F692D">
        <w:trPr>
          <w:cantSplit/>
        </w:trPr>
        <w:tc>
          <w:tcPr>
            <w:tcW w:w="10110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F692D" w:rsidRDefault="003F692D" w:rsidP="003F692D">
            <w:pPr>
              <w:pStyle w:val="Heading2"/>
              <w:tabs>
                <w:tab w:val="center" w:pos="4560"/>
              </w:tabs>
              <w:snapToGrid w:val="0"/>
              <w:rPr>
                <w:rFonts w:ascii="Arial" w:hAnsi="Arial"/>
                <w:i/>
                <w:sz w:val="23"/>
                <w:szCs w:val="23"/>
              </w:rPr>
            </w:pPr>
            <w:r>
              <w:rPr>
                <w:rFonts w:ascii="Arial" w:hAnsi="Arial"/>
                <w:i/>
                <w:sz w:val="23"/>
                <w:szCs w:val="23"/>
              </w:rPr>
              <w:t>For additional information, please contact Sherri Smith</w:t>
            </w:r>
            <w:r>
              <w:rPr>
                <w:rFonts w:ascii="Arial" w:hAnsi="Arial"/>
                <w:i/>
                <w:sz w:val="23"/>
                <w:szCs w:val="23"/>
              </w:rPr>
              <w:t xml:space="preserve">, Chair, </w:t>
            </w:r>
          </w:p>
          <w:p w:rsidR="00000000" w:rsidRDefault="003F692D" w:rsidP="003F692D">
            <w:pPr>
              <w:pStyle w:val="Heading2"/>
              <w:tabs>
                <w:tab w:val="center" w:pos="4560"/>
              </w:tabs>
              <w:snapToGrid w:val="0"/>
              <w:rPr>
                <w:rFonts w:ascii="Arial" w:hAnsi="Arial"/>
                <w:i/>
                <w:sz w:val="23"/>
                <w:szCs w:val="23"/>
              </w:rPr>
            </w:pPr>
            <w:r>
              <w:rPr>
                <w:rFonts w:ascii="Arial" w:hAnsi="Arial"/>
                <w:i/>
                <w:sz w:val="23"/>
                <w:szCs w:val="23"/>
              </w:rPr>
              <w:t xml:space="preserve">Natural </w:t>
            </w:r>
            <w:r>
              <w:rPr>
                <w:rFonts w:ascii="Arial" w:hAnsi="Arial"/>
                <w:i/>
                <w:sz w:val="23"/>
                <w:szCs w:val="23"/>
              </w:rPr>
              <w:t>Environment, Business a</w:t>
            </w:r>
            <w:r>
              <w:rPr>
                <w:rFonts w:ascii="Arial" w:hAnsi="Arial"/>
                <w:i/>
                <w:sz w:val="23"/>
                <w:szCs w:val="23"/>
              </w:rPr>
              <w:t>nd Media</w:t>
            </w:r>
          </w:p>
        </w:tc>
      </w:tr>
      <w:tr w:rsidR="00000000" w:rsidTr="003F692D">
        <w:trPr>
          <w:cantSplit/>
        </w:trPr>
        <w:tc>
          <w:tcPr>
            <w:tcW w:w="1011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3F692D">
            <w:pPr>
              <w:tabs>
                <w:tab w:val="center" w:pos="4560"/>
              </w:tabs>
              <w:snapToGrid w:val="0"/>
              <w:jc w:val="center"/>
              <w:rPr>
                <w:rFonts w:ascii="Arial" w:hAnsi="Arial"/>
                <w:b/>
                <w:i/>
                <w:lang w:val="en-GB"/>
              </w:rPr>
            </w:pPr>
            <w:r>
              <w:rPr>
                <w:rFonts w:ascii="Arial" w:hAnsi="Arial"/>
                <w:b/>
                <w:i/>
                <w:lang w:val="en-GB"/>
              </w:rPr>
              <w:t>(705) 759-2554, Ext. 2811</w:t>
            </w:r>
            <w:bookmarkStart w:id="0" w:name="_GoBack"/>
            <w:bookmarkEnd w:id="0"/>
          </w:p>
        </w:tc>
      </w:tr>
    </w:tbl>
    <w:p w:rsidR="00000000" w:rsidRDefault="003F692D">
      <w:pPr>
        <w:tabs>
          <w:tab w:val="center" w:pos="4560"/>
        </w:tabs>
      </w:pPr>
    </w:p>
    <w:p w:rsidR="00000000" w:rsidRDefault="003F692D">
      <w:pPr>
        <w:tabs>
          <w:tab w:val="center" w:pos="4560"/>
        </w:tabs>
        <w:rPr>
          <w:rFonts w:ascii="Calibri" w:hAnsi="Calibri"/>
          <w:b/>
          <w:i/>
          <w:spacing w:val="20"/>
          <w:sz w:val="32"/>
          <w:szCs w:val="32"/>
        </w:rPr>
      </w:pPr>
    </w:p>
    <w:p w:rsidR="00000000" w:rsidRDefault="003F692D">
      <w:pPr>
        <w:tabs>
          <w:tab w:val="center" w:pos="4560"/>
        </w:tabs>
        <w:rPr>
          <w:rFonts w:ascii="Arial" w:hAnsi="Arial"/>
          <w:i/>
          <w:lang w:val="en-GB"/>
        </w:rPr>
      </w:pPr>
      <w:r>
        <w:rPr>
          <w:rFonts w:ascii="Calibri" w:hAnsi="Calibri"/>
          <w:b/>
          <w:i/>
          <w:spacing w:val="20"/>
          <w:sz w:val="32"/>
          <w:szCs w:val="32"/>
        </w:rPr>
        <w:t>NET 310 - Environmental Assessment Implementation and Monitoring</w:t>
      </w:r>
    </w:p>
    <w:p w:rsidR="00000000" w:rsidRDefault="003F692D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8181" w:type="dxa"/>
          </w:tcPr>
          <w:p w:rsidR="00000000" w:rsidRDefault="003F692D">
            <w:pPr>
              <w:pStyle w:val="NormalWeb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</w:rPr>
              <w:t>COURSE DESCRIPTION: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This course will focus on the documentation of potential environmental effects of projects subject to the Environmental Assessment Act and measures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mitigate these effects in a comprehensive report. In addition, the design of follow-up programs to assess the effectiveness of mitigating measures will be covered.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</w:tr>
    </w:tbl>
    <w:p w:rsidR="00000000" w:rsidRDefault="003F69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</w:tr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Upon successful completion of </w:t>
            </w:r>
            <w:r>
              <w:rPr>
                <w:rFonts w:ascii="Arial" w:hAnsi="Arial"/>
              </w:rPr>
              <w:t>this course, the student will demonstrate the ability to: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List and describe the necessary steps for completion of an environmental assessment in Canada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describe the EA process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outline the necessary types </w:t>
            </w:r>
            <w:r>
              <w:rPr>
                <w:rFonts w:ascii="Arial" w:hAnsi="Arial"/>
              </w:rPr>
              <w:t>of information for completing an EA in Canada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Describe best practices when conducting an environmental assessment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- list the various stages of an EIA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explain the role of each stage in an environmental assess</w:t>
            </w:r>
            <w:r>
              <w:rPr>
                <w:rFonts w:ascii="Arial" w:hAnsi="Arial"/>
              </w:rPr>
              <w:t xml:space="preserve">ment 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list and describe a variety of methods used for each stage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discuss the merits of different methods for different applications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Explain the different types of assessments, the significance of the social, health and environmental components and</w:t>
            </w:r>
            <w:r>
              <w:rPr>
                <w:rFonts w:ascii="Arial" w:hAnsi="Arial"/>
              </w:rPr>
              <w:t xml:space="preserve"> the role of public participation in an assessment process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describe and discuss the different types of assessments used in an environmental assessment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explain their uses and merits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explain their differences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describe the different techniques and methods each use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Design, develop and execute a public consultation plan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explain the basic and operational principles of meaningful participation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describe various meth</w:t>
            </w:r>
            <w:r>
              <w:rPr>
                <w:rFonts w:ascii="Arial" w:hAnsi="Arial"/>
              </w:rPr>
              <w:t>ods and techniques used for public consultation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- explain the role of local and traditional ecological knowledge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Describe the function and elements of a cumulative effects assessment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Define cumulative effect</w:t>
            </w:r>
            <w:r>
              <w:rPr>
                <w:rFonts w:ascii="Arial" w:hAnsi="Arial"/>
              </w:rPr>
              <w:t>s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Describe types of cumulative effects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identify different models to assess cumulative effects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Design a follow-up plan to assess the effectiveness of mitigation measures and explain the development and use of different types of indicators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</w:t>
            </w:r>
            <w:r>
              <w:rPr>
                <w:rFonts w:ascii="Arial" w:hAnsi="Arial"/>
                <w:u w:val="single"/>
              </w:rPr>
              <w:t>ial Elements of the Performance</w:t>
            </w:r>
            <w:r>
              <w:rPr>
                <w:rFonts w:ascii="Arial" w:hAnsi="Arial"/>
              </w:rPr>
              <w:t>: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describe what an indicator is and the different types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explain the difference between types of follow-up monitoring</w:t>
            </w:r>
          </w:p>
          <w:p w:rsidR="00000000" w:rsidRDefault="003F69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list and describe a variety of monitoring methods and techniques</w:t>
            </w:r>
          </w:p>
        </w:tc>
      </w:tr>
    </w:tbl>
    <w:p w:rsidR="00000000" w:rsidRDefault="003F69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Environmental as</w:t>
            </w:r>
            <w:r>
              <w:rPr>
                <w:rFonts w:ascii="Arial" w:hAnsi="Arial"/>
              </w:rPr>
              <w:t>sessment process and methods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Stages of the EIA in Canada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Environmental social, health and other assessments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Public participation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Cumulative effects assessment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614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Indicators, monitoring and follow-up</w:t>
            </w:r>
          </w:p>
        </w:tc>
      </w:tr>
    </w:tbl>
    <w:p w:rsidR="00000000" w:rsidRDefault="003F692D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</w:t>
            </w:r>
            <w:r>
              <w:rPr>
                <w:rFonts w:ascii="Arial" w:hAnsi="Arial"/>
                <w:b/>
              </w:rPr>
              <w:t>RIALS:</w:t>
            </w:r>
          </w:p>
          <w:p w:rsidR="00000000" w:rsidRDefault="003F692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Introduction to Environmental Impact Assessment, Noble.</w:t>
            </w:r>
          </w:p>
          <w:p w:rsidR="00000000" w:rsidRDefault="003F692D">
            <w:pPr>
              <w:rPr>
                <w:rFonts w:ascii="Arial" w:hAnsi="Arial"/>
                <w:i/>
              </w:rPr>
            </w:pPr>
          </w:p>
          <w:p w:rsidR="00000000" w:rsidRDefault="003F692D">
            <w:pPr>
              <w:pStyle w:val="Default"/>
            </w:pPr>
            <w:r>
              <w:rPr>
                <w:i/>
              </w:rPr>
              <w:t xml:space="preserve">Approach to learning: </w:t>
            </w:r>
          </w:p>
          <w:p w:rsidR="00000000" w:rsidRDefault="003F692D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</w:rPr>
              <w:t>Although there will be lectures, students are encouraged to participate and share their perspectives on the respective themes as much as possible.  A significant proport</w:t>
            </w:r>
            <w:r>
              <w:rPr>
                <w:rFonts w:ascii="Arial" w:hAnsi="Arial" w:cs="Arial"/>
              </w:rPr>
              <w:t>ion of classes will be dedicated to class activities based on readings and assignments.  A portion of the evaluation for this course depends upon the student being able to demonstrate your comprehension of the materials by engaging in class discussions and</w:t>
            </w:r>
            <w:r>
              <w:rPr>
                <w:rFonts w:ascii="Arial" w:hAnsi="Arial" w:cs="Arial"/>
              </w:rPr>
              <w:t xml:space="preserve"> activities on the respective themes, completing assignments, and raising questions about specific subject matter. Emphasis will be placed on creating a positive environment whereby students can express themselves without fear of criticism or judgment. Thi</w:t>
            </w:r>
            <w:r>
              <w:rPr>
                <w:rFonts w:ascii="Arial" w:hAnsi="Arial" w:cs="Arial"/>
              </w:rPr>
              <w:t>s approach to learning recognizes that everyone has something to contribute to class discussions, and reduces the amount of lecture time for any given topic.</w:t>
            </w:r>
          </w:p>
        </w:tc>
      </w:tr>
    </w:tbl>
    <w:p w:rsidR="00000000" w:rsidRDefault="003F69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V.</w:t>
            </w:r>
          </w:p>
        </w:tc>
        <w:tc>
          <w:tcPr>
            <w:tcW w:w="8181" w:type="dxa"/>
          </w:tcPr>
          <w:p w:rsidR="00000000" w:rsidRDefault="003F692D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p w:rsidR="00000000" w:rsidRDefault="003F692D">
            <w:pPr>
              <w:pStyle w:val="EnvelopeReturn"/>
              <w:rPr>
                <w:color w:val="00B050"/>
              </w:rPr>
            </w:pPr>
          </w:p>
          <w:p w:rsidR="00000000" w:rsidRDefault="003F692D">
            <w:pPr>
              <w:pStyle w:val="EnvelopeReturn"/>
              <w:rPr>
                <w:color w:val="00B050"/>
              </w:rPr>
            </w:pPr>
            <w:r>
              <w:rPr>
                <w:color w:val="00B050"/>
              </w:rPr>
              <w:t>Term Assignment – 40%</w:t>
            </w:r>
          </w:p>
          <w:p w:rsidR="00000000" w:rsidRDefault="003F692D">
            <w:pPr>
              <w:pStyle w:val="EnvelopeReturn"/>
              <w:rPr>
                <w:color w:val="00B050"/>
              </w:rPr>
            </w:pPr>
            <w:r>
              <w:rPr>
                <w:color w:val="00B050"/>
              </w:rPr>
              <w:t>Assignments - 50%</w:t>
            </w:r>
          </w:p>
          <w:p w:rsidR="00000000" w:rsidRDefault="003F692D">
            <w:pPr>
              <w:pStyle w:val="EnvelopeReturn"/>
              <w:rPr>
                <w:color w:val="00B050"/>
              </w:rPr>
            </w:pPr>
            <w:r>
              <w:rPr>
                <w:color w:val="00B050"/>
              </w:rPr>
              <w:t>Class Participati</w:t>
            </w:r>
            <w:r>
              <w:rPr>
                <w:color w:val="00B050"/>
              </w:rPr>
              <w:t xml:space="preserve">on and Activities – 10% </w:t>
            </w:r>
          </w:p>
          <w:p w:rsidR="00000000" w:rsidRDefault="003F692D">
            <w:pPr>
              <w:pStyle w:val="EnvelopeReturn"/>
            </w:pPr>
          </w:p>
        </w:tc>
      </w:tr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pStyle w:val="EnvelopeReturn"/>
              <w:snapToGrid w:val="0"/>
            </w:pPr>
          </w:p>
        </w:tc>
        <w:tc>
          <w:tcPr>
            <w:tcW w:w="8181" w:type="dxa"/>
          </w:tcPr>
          <w:p w:rsidR="00000000" w:rsidRDefault="003F692D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:rsidR="00000000" w:rsidRDefault="003F69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:rsidR="00000000" w:rsidRDefault="003F692D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:rsidR="00000000" w:rsidRDefault="003F692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000000">
        <w:trPr>
          <w:cantSplit/>
        </w:trPr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temporary </w:t>
            </w:r>
            <w:r>
              <w:rPr>
                <w:rFonts w:ascii="Arial" w:hAnsi="Arial" w:cs="Arial"/>
              </w:rPr>
              <w:t>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75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000000" w:rsidRDefault="003F69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000000" w:rsidRDefault="003F69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3F69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38"/>
      </w:tblGrid>
      <w:tr w:rsidR="00000000">
        <w:trPr>
          <w:cantSplit/>
          <w:trHeight w:val="3132"/>
        </w:trPr>
        <w:tc>
          <w:tcPr>
            <w:tcW w:w="8838" w:type="dxa"/>
          </w:tcPr>
          <w:p w:rsidR="00000000" w:rsidRDefault="003F692D">
            <w:pPr>
              <w:snapToGrid w:val="0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Attendance:</w:t>
            </w:r>
          </w:p>
          <w:p w:rsidR="00000000" w:rsidRDefault="003F692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Sault College is committed to student success.  There is a direct correlation between academic performance and class attendance; therefore, for the benefit of all its constituents, all students are encouraged to attend all of their scheduled l</w:t>
            </w:r>
            <w:r>
              <w:rPr>
                <w:rFonts w:ascii="Arial" w:hAnsi="Arial" w:cs="Arial"/>
                <w:szCs w:val="24"/>
              </w:rPr>
              <w:t xml:space="preserve">earning and evaluation sessions. This implies arriving on time and remaining for the duration of the scheduled session. </w:t>
            </w:r>
          </w:p>
          <w:p w:rsidR="00000000" w:rsidRDefault="003F692D">
            <w:pPr>
              <w:rPr>
                <w:rFonts w:ascii="Arial" w:hAnsi="Arial"/>
              </w:rPr>
            </w:pPr>
          </w:p>
        </w:tc>
      </w:tr>
    </w:tbl>
    <w:p w:rsidR="00000000" w:rsidRDefault="003F692D"/>
    <w:p w:rsidR="00000000" w:rsidRDefault="003F692D">
      <w:pPr>
        <w:rPr>
          <w:rFonts w:ascii="Calibri" w:hAnsi="Calibri"/>
          <w:sz w:val="16"/>
          <w:szCs w:val="16"/>
        </w:rPr>
      </w:pPr>
      <w:r>
        <w:rPr>
          <w:noProof/>
          <w:lang w:eastAsia="en-US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979805" cy="11798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7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</w:rPr>
        <w:t xml:space="preserve">COURSE SCHJEDULE: </w:t>
      </w:r>
      <w:r>
        <w:rPr>
          <w:rFonts w:ascii="Calibri" w:hAnsi="Calibri"/>
          <w:bCs/>
        </w:rPr>
        <w:t>Subject to change</w:t>
      </w:r>
    </w:p>
    <w:p w:rsidR="00000000" w:rsidRDefault="003F692D">
      <w:pPr>
        <w:rPr>
          <w:rFonts w:ascii="Verdana" w:hAnsi="Verdana"/>
          <w:sz w:val="20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5245"/>
      </w:tblGrid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00000" w:rsidRDefault="003F69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Week/Hours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00000" w:rsidRDefault="003F69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Topic/Chapter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000000" w:rsidRDefault="003F69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Concepts Covered</w:t>
            </w:r>
          </w:p>
        </w:tc>
      </w:tr>
      <w:tr w:rsidR="00000000">
        <w:trPr>
          <w:trHeight w:val="8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Week 1</w:t>
            </w:r>
          </w:p>
          <w:p w:rsidR="00000000" w:rsidRDefault="003F692D">
            <w:pPr>
              <w:spacing w:after="58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Introduction </w:t>
            </w: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overview</w:t>
            </w:r>
          </w:p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CEAA</w:t>
            </w:r>
          </w:p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provincial EA</w:t>
            </w:r>
          </w:p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EA process</w:t>
            </w:r>
          </w:p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positioning implementation and monitoring in process</w:t>
            </w:r>
          </w:p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definitions</w:t>
            </w:r>
          </w:p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classification of effects and impacts</w:t>
            </w:r>
          </w:p>
          <w:p w:rsidR="00000000" w:rsidRDefault="003F692D">
            <w:pPr>
              <w:pStyle w:val="ListParagraph"/>
              <w:numPr>
                <w:ilvl w:val="0"/>
                <w:numId w:val="1"/>
              </w:numPr>
              <w:spacing w:line="120" w:lineRule="atLeast"/>
              <w:ind w:left="252" w:hanging="1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 to HIA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2    </w:t>
            </w: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HIA and term assignment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HIA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process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methods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 values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roles in impact assessment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 project proces</w:t>
            </w:r>
            <w:r>
              <w:rPr>
                <w:rFonts w:ascii="Calibri" w:hAnsi="Calibri"/>
                <w:sz w:val="22"/>
                <w:szCs w:val="22"/>
              </w:rPr>
              <w:t>s outline: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collection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workshop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research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analysis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reporting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community website: http://pointesprotection.org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http://www.sootoday.com/content/news/details.asp?c=36884</w:t>
            </w:r>
          </w:p>
          <w:p w:rsidR="00000000" w:rsidRDefault="003F692D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http://www.lssu.edu/bpac/wp-content/uploads/2011/09/BPACminutes03272012-4-Agency-and-Pr</w:t>
            </w:r>
            <w:r>
              <w:rPr>
                <w:rFonts w:ascii="Calibri" w:hAnsi="Calibri"/>
                <w:sz w:val="22"/>
                <w:szCs w:val="22"/>
              </w:rPr>
              <w:t>es.pdf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3 </w:t>
            </w: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Introductions to Pointe Estates proposal</w:t>
            </w: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EIA Methods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community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proponent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definitions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purposes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types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advantages and disadvantages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4   </w:t>
            </w: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Screening</w:t>
            </w: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significance</w:t>
            </w:r>
          </w:p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approaches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guidelines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precautionary principle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Week 5     </w:t>
            </w: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scopin</w:t>
            </w:r>
            <w:r>
              <w:rPr>
                <w:rFonts w:ascii="Calibri" w:hAnsi="Calibri"/>
                <w:sz w:val="22"/>
                <w:szCs w:val="22"/>
              </w:rPr>
              <w:t>g and baseline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issues, boundaries, focus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evaluating alternatives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VECs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issues to consider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spatial, temporal and jurisdictional bounding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6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impact predictions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accuracy and precision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tools and techniques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predicting impacts on hum</w:t>
            </w:r>
            <w:r>
              <w:rPr>
                <w:rFonts w:ascii="Calibri" w:hAnsi="Calibri"/>
                <w:sz w:val="22"/>
                <w:szCs w:val="22"/>
              </w:rPr>
              <w:t>an and biophysical environments</w:t>
            </w:r>
          </w:p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components, techniques , challenges and verification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7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impact significance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determining impact significance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direction, magnitude, probability, duration and frequency, spatial extent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standards and regulations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cumula</w:t>
            </w:r>
            <w:r>
              <w:rPr>
                <w:rFonts w:ascii="Calibri" w:hAnsi="Calibri"/>
                <w:sz w:val="22"/>
                <w:szCs w:val="22"/>
              </w:rPr>
              <w:t>tive effects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values</w:t>
            </w:r>
          </w:p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methods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Week 8</w:t>
            </w:r>
          </w:p>
          <w:p w:rsidR="00000000" w:rsidRDefault="003F692D">
            <w:pPr>
              <w:spacing w:after="5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managing impacts and monitoring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adverse and beneficial impacts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strategies to manage impacts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types of monitoring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follow-up</w:t>
            </w:r>
          </w:p>
          <w:p w:rsidR="00000000" w:rsidRDefault="003F692D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collection, approaches and techniques</w:t>
            </w: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9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pStyle w:val="ListParagraph"/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10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week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Week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11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Week 12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Week 13</w:t>
            </w:r>
          </w:p>
          <w:p w:rsidR="00000000" w:rsidRDefault="003F692D">
            <w:pPr>
              <w:spacing w:after="5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Week 14</w:t>
            </w:r>
          </w:p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 assignment due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0000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Week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after="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 exam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F692D">
            <w:pPr>
              <w:spacing w:line="1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0000" w:rsidRDefault="003F692D"/>
    <w:p w:rsidR="00000000" w:rsidRDefault="003F692D"/>
    <w:p w:rsidR="00000000" w:rsidRDefault="003F692D">
      <w:pPr>
        <w:pStyle w:val="EnvelopeReturn"/>
      </w:pPr>
      <w:r>
        <w:lastRenderedPageBreak/>
        <w:t>Term Assignment</w:t>
      </w:r>
    </w:p>
    <w:p w:rsidR="00000000" w:rsidRDefault="003F692D">
      <w:pPr>
        <w:pStyle w:val="EnvelopeReturn"/>
      </w:pPr>
      <w:r>
        <w:t>Participate in the completion of a Health Impact Assessment of the Pointes Estate development (proposal) located in west Sault Ste. Marie.</w:t>
      </w:r>
    </w:p>
    <w:p w:rsidR="00000000" w:rsidRDefault="003F692D">
      <w:pPr>
        <w:pStyle w:val="EnvelopeReturn"/>
      </w:pPr>
    </w:p>
    <w:p w:rsidR="00000000" w:rsidRDefault="003F692D">
      <w:pPr>
        <w:pStyle w:val="EnvelopeReturn"/>
      </w:pPr>
    </w:p>
    <w:sectPr w:rsidR="0000000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716" w:right="1800" w:bottom="1716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92D">
      <w:r>
        <w:separator/>
      </w:r>
    </w:p>
  </w:endnote>
  <w:endnote w:type="continuationSeparator" w:id="0">
    <w:p w:rsidR="00000000" w:rsidRDefault="003F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9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9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9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92D">
      <w:r>
        <w:separator/>
      </w:r>
    </w:p>
  </w:footnote>
  <w:footnote w:type="continuationSeparator" w:id="0">
    <w:p w:rsidR="00000000" w:rsidRDefault="003F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9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2D"/>
    <w:rsid w:val="003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Monotype Sorts" w:hAnsi="Monotype Sort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styleId="DefaultParagraphFont0">
    <w:name w:val="Default Paragraph Font"/>
    <w:semiHidden/>
  </w:style>
  <w:style w:type="character" w:styleId="PageNumber">
    <w:name w:val="page number"/>
    <w:basedOn w:val="DefaultParagraphFont0"/>
    <w:semiHidden/>
  </w:style>
  <w:style w:type="character" w:styleId="LineNumber">
    <w:name w:val="line number"/>
    <w:basedOn w:val="DefaultParagraphFont0"/>
    <w:semiHidden/>
  </w:style>
  <w:style w:type="character" w:styleId="Emphasis">
    <w:name w:val="Emphasis"/>
    <w:basedOn w:val="DefaultParagraphFont0"/>
    <w:qFormat/>
    <w:rPr>
      <w:i/>
      <w:iCs/>
    </w:rPr>
  </w:style>
  <w:style w:type="character" w:styleId="Hyperlink">
    <w:name w:val="Hyperlink"/>
    <w:basedOn w:val="DefaultParagraphFont0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450" w:hanging="450"/>
    </w:pPr>
    <w:rPr>
      <w:lang w:val="en-GB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CA" w:eastAsia="ar-SA"/>
    </w:rPr>
  </w:style>
  <w:style w:type="paragraph" w:styleId="NormalWeb">
    <w:name w:val="Normal (Web)"/>
    <w:basedOn w:val="Normal"/>
    <w:semiHidden/>
    <w:pPr>
      <w:spacing w:before="100" w:after="100"/>
    </w:pPr>
    <w:rPr>
      <w:szCs w:val="24"/>
      <w:lang w:val="en-C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Pr>
      <w:kern w:val="1"/>
      <w:szCs w:val="24"/>
      <w:lang w:val="en-C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Monotype Sorts" w:hAnsi="Monotype Sort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styleId="DefaultParagraphFont0">
    <w:name w:val="Default Paragraph Font"/>
    <w:semiHidden/>
  </w:style>
  <w:style w:type="character" w:styleId="PageNumber">
    <w:name w:val="page number"/>
    <w:basedOn w:val="DefaultParagraphFont0"/>
    <w:semiHidden/>
  </w:style>
  <w:style w:type="character" w:styleId="LineNumber">
    <w:name w:val="line number"/>
    <w:basedOn w:val="DefaultParagraphFont0"/>
    <w:semiHidden/>
  </w:style>
  <w:style w:type="character" w:styleId="Emphasis">
    <w:name w:val="Emphasis"/>
    <w:basedOn w:val="DefaultParagraphFont0"/>
    <w:qFormat/>
    <w:rPr>
      <w:i/>
      <w:iCs/>
    </w:rPr>
  </w:style>
  <w:style w:type="character" w:styleId="Hyperlink">
    <w:name w:val="Hyperlink"/>
    <w:basedOn w:val="DefaultParagraphFont0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450" w:hanging="450"/>
    </w:pPr>
    <w:rPr>
      <w:lang w:val="en-GB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CA" w:eastAsia="ar-SA"/>
    </w:rPr>
  </w:style>
  <w:style w:type="paragraph" w:styleId="NormalWeb">
    <w:name w:val="Normal (Web)"/>
    <w:basedOn w:val="Normal"/>
    <w:semiHidden/>
    <w:pPr>
      <w:spacing w:before="100" w:after="100"/>
    </w:pPr>
    <w:rPr>
      <w:szCs w:val="24"/>
      <w:lang w:val="en-C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Pr>
      <w:kern w:val="1"/>
      <w:szCs w:val="24"/>
      <w:lang w:val="en-C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1421F-E41A-4C13-A5DD-380081E0171D}"/>
</file>

<file path=customXml/itemProps2.xml><?xml version="1.0" encoding="utf-8"?>
<ds:datastoreItem xmlns:ds="http://schemas.openxmlformats.org/officeDocument/2006/customXml" ds:itemID="{BCB90523-996E-4DBF-B660-AFE9EFE30C41}"/>
</file>

<file path=customXml/itemProps3.xml><?xml version="1.0" encoding="utf-8"?>
<ds:datastoreItem xmlns:ds="http://schemas.openxmlformats.org/officeDocument/2006/customXml" ds:itemID="{C04D0783-DFDF-4746-9A88-DE209600A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1144</Words>
  <Characters>6526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 310 - Environmental Assessment Implementation and Monitoring</vt:lpstr>
    </vt:vector>
  </TitlesOfParts>
  <Company>Nortel Networks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 310 - Environmental Assessment Implementation and Monitoring</dc:title>
  <dc:creator>Lopez Vj</dc:creator>
  <cp:lastModifiedBy>Nicole LaCroix</cp:lastModifiedBy>
  <cp:revision>2</cp:revision>
  <cp:lastPrinted>2007-05-04T15:50:00Z</cp:lastPrinted>
  <dcterms:created xsi:type="dcterms:W3CDTF">2017-01-11T14:22:00Z</dcterms:created>
  <dcterms:modified xsi:type="dcterms:W3CDTF">2017-01-11T14:22:00Z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8039800</vt:r8>
  </property>
</Properties>
</file>